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09F7" w:rsidRPr="00B15C9E" w:rsidRDefault="006A09F7" w:rsidP="00B15C9E">
      <w:pPr>
        <w:shd w:val="clear" w:color="auto" w:fill="FFFFFF"/>
        <w:adjustRightInd/>
        <w:snapToGrid/>
        <w:spacing w:afterLines="50" w:line="360" w:lineRule="auto"/>
        <w:jc w:val="center"/>
        <w:outlineLvl w:val="1"/>
        <w:rPr>
          <w:rFonts w:asciiTheme="minorEastAsia" w:eastAsiaTheme="minorEastAsia" w:hAnsiTheme="minorEastAsia" w:cs="Arial"/>
          <w:b/>
          <w:bCs/>
          <w:color w:val="000000"/>
          <w:sz w:val="30"/>
          <w:szCs w:val="30"/>
        </w:rPr>
      </w:pPr>
      <w:r w:rsidRPr="00B15C9E">
        <w:rPr>
          <w:rFonts w:asciiTheme="minorEastAsia" w:eastAsiaTheme="minorEastAsia" w:hAnsiTheme="minorEastAsia" w:cs="Arial" w:hint="eastAsia"/>
          <w:b/>
          <w:bCs/>
          <w:color w:val="000000"/>
          <w:sz w:val="30"/>
          <w:szCs w:val="30"/>
        </w:rPr>
        <w:t>以新理念依法整体推进扫黑除恶专项斗争</w:t>
      </w:r>
    </w:p>
    <w:p w:rsidR="006A09F7" w:rsidRPr="00B15C9E" w:rsidRDefault="00B15C9E" w:rsidP="00B15C9E">
      <w:pPr>
        <w:shd w:val="clear" w:color="auto" w:fill="FFFFFF"/>
        <w:adjustRightInd/>
        <w:snapToGrid/>
        <w:spacing w:afterLines="50" w:line="360" w:lineRule="auto"/>
        <w:jc w:val="center"/>
        <w:rPr>
          <w:rFonts w:asciiTheme="minorEastAsia" w:eastAsiaTheme="minorEastAsia" w:hAnsiTheme="minorEastAsia" w:cs="Arial"/>
          <w:color w:val="333333"/>
          <w:sz w:val="24"/>
          <w:szCs w:val="24"/>
        </w:rPr>
      </w:pPr>
      <w:r w:rsidRPr="00B15C9E">
        <w:rPr>
          <w:rFonts w:asciiTheme="minorEastAsia" w:eastAsiaTheme="minorEastAsia" w:hAnsiTheme="minorEastAsia" w:cs="Arial" w:hint="eastAsia"/>
          <w:color w:val="333333"/>
          <w:sz w:val="24"/>
          <w:szCs w:val="24"/>
        </w:rPr>
        <w:t>来源：</w:t>
      </w:r>
      <w:r w:rsidR="006A09F7" w:rsidRPr="00B15C9E">
        <w:rPr>
          <w:rFonts w:asciiTheme="minorEastAsia" w:eastAsiaTheme="minorEastAsia" w:hAnsiTheme="minorEastAsia" w:cs="Arial"/>
          <w:color w:val="333333"/>
          <w:sz w:val="24"/>
          <w:szCs w:val="24"/>
        </w:rPr>
        <w:t>光明网</w:t>
      </w:r>
    </w:p>
    <w:p w:rsidR="006A09F7" w:rsidRPr="0042517A" w:rsidRDefault="006A09F7" w:rsidP="00B15C9E">
      <w:pPr>
        <w:shd w:val="clear" w:color="auto" w:fill="FFFFFF"/>
        <w:adjustRightInd/>
        <w:snapToGrid/>
        <w:spacing w:afterLines="50" w:line="360" w:lineRule="auto"/>
        <w:jc w:val="center"/>
        <w:rPr>
          <w:rFonts w:asciiTheme="minorEastAsia" w:eastAsiaTheme="minorEastAsia" w:hAnsiTheme="minorEastAsia" w:cs="Arial"/>
          <w:color w:val="333333"/>
          <w:sz w:val="24"/>
          <w:szCs w:val="24"/>
        </w:rPr>
      </w:pPr>
      <w:r w:rsidRPr="0042517A">
        <w:rPr>
          <w:rFonts w:asciiTheme="minorEastAsia" w:eastAsiaTheme="minorEastAsia" w:hAnsiTheme="minorEastAsia" w:cs="Arial"/>
          <w:color w:val="333333"/>
          <w:sz w:val="24"/>
          <w:szCs w:val="24"/>
        </w:rPr>
        <w:t>作者：武汉大学法学院副院长、教授 何荣功</w:t>
      </w:r>
    </w:p>
    <w:p w:rsidR="006A09F7" w:rsidRPr="0042517A" w:rsidRDefault="006A09F7" w:rsidP="00B23635">
      <w:pPr>
        <w:shd w:val="clear" w:color="auto" w:fill="FFFFFF"/>
        <w:adjustRightInd/>
        <w:snapToGrid/>
        <w:spacing w:before="330" w:afterLines="50" w:line="360" w:lineRule="auto"/>
        <w:ind w:firstLineChars="200" w:firstLine="480"/>
        <w:jc w:val="both"/>
        <w:rPr>
          <w:rFonts w:asciiTheme="minorEastAsia" w:eastAsiaTheme="minorEastAsia" w:hAnsiTheme="minorEastAsia" w:cs="Arial"/>
          <w:color w:val="333333"/>
          <w:sz w:val="24"/>
          <w:szCs w:val="24"/>
        </w:rPr>
      </w:pPr>
      <w:r w:rsidRPr="0042517A">
        <w:rPr>
          <w:rFonts w:asciiTheme="minorEastAsia" w:eastAsiaTheme="minorEastAsia" w:hAnsiTheme="minorEastAsia" w:cs="Arial"/>
          <w:color w:val="333333"/>
          <w:sz w:val="24"/>
          <w:szCs w:val="24"/>
        </w:rPr>
        <w:t>针对涉黑涉恶问题的新动向，近日中共中央、国务院发布了《关于开展扫黑除恶专项斗争的通知》。当前，深入开展扫黑除恶专项斗争，是我国在全面建成小康社会的决胜阶段、中国特色社会主义进入新时代的关键时期作出的一项重大部署，是坚持以人民为中心，保障和提升人民群众获得感、幸福感、安全感的必然要求，也是巩固党的执政根基，维护社会稳定的切实举措。</w:t>
      </w:r>
    </w:p>
    <w:p w:rsidR="006A09F7" w:rsidRPr="0042517A" w:rsidRDefault="006A09F7" w:rsidP="00B23635">
      <w:pPr>
        <w:shd w:val="clear" w:color="auto" w:fill="FFFFFF"/>
        <w:adjustRightInd/>
        <w:snapToGrid/>
        <w:spacing w:before="330" w:afterLines="50" w:line="360" w:lineRule="auto"/>
        <w:ind w:firstLineChars="200" w:firstLine="480"/>
        <w:jc w:val="both"/>
        <w:rPr>
          <w:rFonts w:asciiTheme="minorEastAsia" w:eastAsiaTheme="minorEastAsia" w:hAnsiTheme="minorEastAsia" w:cs="Arial"/>
          <w:color w:val="333333"/>
          <w:sz w:val="24"/>
          <w:szCs w:val="24"/>
        </w:rPr>
      </w:pPr>
      <w:r w:rsidRPr="0042517A">
        <w:rPr>
          <w:rFonts w:asciiTheme="minorEastAsia" w:eastAsiaTheme="minorEastAsia" w:hAnsiTheme="minorEastAsia" w:cs="Arial"/>
          <w:color w:val="333333"/>
          <w:sz w:val="24"/>
          <w:szCs w:val="24"/>
        </w:rPr>
        <w:t>《通知》强调了深入开展扫黑除恶专项斗争的重大现实与历史意义，明确了扫黑除恶工作的思路、主要任务和重心，提出了从源头上遏制黑恶势力滋生的机制，呈现出新时代国家针对涉黑涉恶违法犯罪治理的新气象、新视野与新思路。</w:t>
      </w:r>
    </w:p>
    <w:p w:rsidR="006A09F7" w:rsidRPr="0042517A" w:rsidRDefault="006A09F7" w:rsidP="00B23635">
      <w:pPr>
        <w:shd w:val="clear" w:color="auto" w:fill="FFFFFF"/>
        <w:adjustRightInd/>
        <w:snapToGrid/>
        <w:spacing w:before="330" w:afterLines="50" w:line="360" w:lineRule="auto"/>
        <w:ind w:firstLineChars="200" w:firstLine="482"/>
        <w:jc w:val="both"/>
        <w:rPr>
          <w:rFonts w:asciiTheme="minorEastAsia" w:eastAsiaTheme="minorEastAsia" w:hAnsiTheme="minorEastAsia" w:cs="Arial"/>
          <w:color w:val="333333"/>
          <w:sz w:val="24"/>
          <w:szCs w:val="24"/>
        </w:rPr>
      </w:pPr>
      <w:r w:rsidRPr="00B23635">
        <w:rPr>
          <w:rFonts w:asciiTheme="minorEastAsia" w:eastAsiaTheme="minorEastAsia" w:hAnsiTheme="minorEastAsia" w:cs="Arial"/>
          <w:b/>
          <w:color w:val="333333"/>
          <w:sz w:val="24"/>
          <w:szCs w:val="24"/>
        </w:rPr>
        <w:t>第一，“扫黑除恶”的新理念。</w:t>
      </w:r>
      <w:r w:rsidRPr="0042517A">
        <w:rPr>
          <w:rFonts w:asciiTheme="minorEastAsia" w:eastAsiaTheme="minorEastAsia" w:hAnsiTheme="minorEastAsia" w:cs="Arial"/>
          <w:color w:val="333333"/>
          <w:sz w:val="24"/>
          <w:szCs w:val="24"/>
        </w:rPr>
        <w:t>严厉惩处黑恶势力是我国长期坚持的刑事政策，过去我们一直使用“打黑除恶”的提法。“扫黑除恶”与“打黑除恶”虽一字之差，但其中意蕴和体现的治理理念方法截然有别。“扫黑除恶”意在强调有关机关要像“大扫除”一样，自觉、主动、积极地甄别发现各种黑恶势力，依法打击处理，突出的是扫黑除恶工作的全面性、主动性、扎实性和彻底性，体现出国家针对黑恶势力更具广度、深度的治理策略。</w:t>
      </w:r>
    </w:p>
    <w:p w:rsidR="006A09F7" w:rsidRPr="0042517A" w:rsidRDefault="006A09F7" w:rsidP="00B23635">
      <w:pPr>
        <w:shd w:val="clear" w:color="auto" w:fill="FFFFFF"/>
        <w:adjustRightInd/>
        <w:snapToGrid/>
        <w:spacing w:before="330" w:afterLines="50" w:line="360" w:lineRule="auto"/>
        <w:ind w:firstLineChars="200" w:firstLine="482"/>
        <w:jc w:val="both"/>
        <w:rPr>
          <w:rFonts w:asciiTheme="minorEastAsia" w:eastAsiaTheme="minorEastAsia" w:hAnsiTheme="minorEastAsia" w:cs="Arial"/>
          <w:color w:val="333333"/>
          <w:sz w:val="24"/>
          <w:szCs w:val="24"/>
        </w:rPr>
      </w:pPr>
      <w:r w:rsidRPr="00B23635">
        <w:rPr>
          <w:rFonts w:asciiTheme="minorEastAsia" w:eastAsiaTheme="minorEastAsia" w:hAnsiTheme="minorEastAsia" w:cs="Arial"/>
          <w:b/>
          <w:color w:val="333333"/>
          <w:sz w:val="24"/>
          <w:szCs w:val="24"/>
        </w:rPr>
        <w:t>第二，工作机制的新部署。</w:t>
      </w:r>
      <w:r w:rsidRPr="0042517A">
        <w:rPr>
          <w:rFonts w:asciiTheme="minorEastAsia" w:eastAsiaTheme="minorEastAsia" w:hAnsiTheme="minorEastAsia" w:cs="Arial"/>
          <w:color w:val="333333"/>
          <w:sz w:val="24"/>
          <w:szCs w:val="24"/>
        </w:rPr>
        <w:t>与以往最大不同的是，本次扫黑除恶专项行动是党中央、国务院专门发出通知，整合多部门力量开展的。《通知》明确要求扫黑除恶要在各级党委领导下，发挥社会治安综合治理优势，推动各部门各司其职、齐抓共管，综合运用各种手段预防和解决黑恶势力违法犯罪突出问题。以中共中央、国务院名义发出《通知》，一方面体现了党和国家对本次扫黑除恶工作史无前例的重视；另一方面也可以有效协调各方面、各部门资源，打破部门壁垒，统一行动，实现对黑恶势力的社会综合治理。</w:t>
      </w:r>
    </w:p>
    <w:p w:rsidR="006A09F7" w:rsidRPr="0042517A" w:rsidRDefault="006A09F7" w:rsidP="00B23635">
      <w:pPr>
        <w:shd w:val="clear" w:color="auto" w:fill="FFFFFF"/>
        <w:adjustRightInd/>
        <w:snapToGrid/>
        <w:spacing w:before="330" w:afterLines="50" w:line="360" w:lineRule="auto"/>
        <w:ind w:firstLineChars="200" w:firstLine="482"/>
        <w:jc w:val="both"/>
        <w:rPr>
          <w:rFonts w:asciiTheme="minorEastAsia" w:eastAsiaTheme="minorEastAsia" w:hAnsiTheme="minorEastAsia" w:cs="Arial"/>
          <w:color w:val="333333"/>
          <w:sz w:val="24"/>
          <w:szCs w:val="24"/>
        </w:rPr>
      </w:pPr>
      <w:r w:rsidRPr="00B23635">
        <w:rPr>
          <w:rFonts w:asciiTheme="minorEastAsia" w:eastAsiaTheme="minorEastAsia" w:hAnsiTheme="minorEastAsia" w:cs="Arial"/>
          <w:b/>
          <w:color w:val="333333"/>
          <w:sz w:val="24"/>
          <w:szCs w:val="24"/>
        </w:rPr>
        <w:lastRenderedPageBreak/>
        <w:t>第三，整体治理的新战略。</w:t>
      </w:r>
      <w:r w:rsidRPr="0042517A">
        <w:rPr>
          <w:rFonts w:asciiTheme="minorEastAsia" w:eastAsiaTheme="minorEastAsia" w:hAnsiTheme="minorEastAsia" w:cs="Arial"/>
          <w:color w:val="333333"/>
          <w:sz w:val="24"/>
          <w:szCs w:val="24"/>
        </w:rPr>
        <w:t>针对当前涉黑涉恶问题新动向，《通知》强调要切实把专项治理和系统治理、综合治理、依法治理、源头治理结合起来，把打击黑恶势力违法犯罪和反腐败、基层“拍蝇”结合起来，把扫黑除恶和加强基层组织建设结合起来，既有力打击震慑黑恶势力犯罪，又有效铲除黑恶势力滋生土壤，形成长效机制。很明显，中央已清楚认识到我国目前存在的涉黑涉恶是个复杂社会问题。表面上看，涉黑涉恶是违法犯罪问题，但实质上与有的地方基层政权建设薄弱，腐败问题滋生密切牵连。《通知》对黑恶势力采取整体治理的战略，是我国社会治理体系和治理能力日益现代化的体现，有助于最大限度挤压黑恶势力滋生空间，从根本上遏制和预防黑恶势力的滋生发展。</w:t>
      </w:r>
    </w:p>
    <w:p w:rsidR="006A09F7" w:rsidRPr="0042517A" w:rsidRDefault="006A09F7" w:rsidP="00B23635">
      <w:pPr>
        <w:shd w:val="clear" w:color="auto" w:fill="FFFFFF"/>
        <w:adjustRightInd/>
        <w:snapToGrid/>
        <w:spacing w:before="330" w:afterLines="50" w:line="360" w:lineRule="auto"/>
        <w:ind w:firstLineChars="200" w:firstLine="482"/>
        <w:jc w:val="both"/>
        <w:rPr>
          <w:rFonts w:asciiTheme="minorEastAsia" w:eastAsiaTheme="minorEastAsia" w:hAnsiTheme="minorEastAsia" w:cs="Arial"/>
          <w:color w:val="333333"/>
          <w:sz w:val="24"/>
          <w:szCs w:val="24"/>
        </w:rPr>
      </w:pPr>
      <w:r w:rsidRPr="00B23635">
        <w:rPr>
          <w:rFonts w:asciiTheme="minorEastAsia" w:eastAsiaTheme="minorEastAsia" w:hAnsiTheme="minorEastAsia" w:cs="Arial"/>
          <w:b/>
          <w:color w:val="333333"/>
          <w:sz w:val="24"/>
          <w:szCs w:val="24"/>
        </w:rPr>
        <w:t>第四，工作方法的新思路。</w:t>
      </w:r>
      <w:r w:rsidRPr="0042517A">
        <w:rPr>
          <w:rFonts w:asciiTheme="minorEastAsia" w:eastAsiaTheme="minorEastAsia" w:hAnsiTheme="minorEastAsia" w:cs="Arial"/>
          <w:color w:val="333333"/>
          <w:sz w:val="24"/>
          <w:szCs w:val="24"/>
        </w:rPr>
        <w:t>扫黑除恶专项斗争，工作千头万绪，涉及问题的广度、深度、难度和工作强度都非常之大，我们只有抓住事物的主要矛盾，牵住了问题的“牛鼻子”，才能取得事半功倍的效果。在工作方法上，本次扫黑除恶专项斗争明显表现出新思路：《通知》指出要聚焦涉黑涉恶问题突出的重点地区、重点行业、重点领域，把打击锋芒始终对准群众反映最强烈、最深恶痛绝的各类黑恶势力违法犯罪，这有助于国家集中力量针对突出问题最大限度实现扫黑除恶工作的社会效果。《通知》提出要坚持依法严惩、打早打小、除恶务尽，始终保持对各类黑恶势力违法犯罪的严打高压态势，这充分体现扫黑除恶工作的主动性和预见性。《通知》强调要把扫黑除恶与反腐败斗争和基层“拍蝇”结合起来，深挖黑恶势力“保护伞”，这可以防止就案办案、就事论事，有利于从源头上实现对黑恶势力的根本性治理。</w:t>
      </w:r>
    </w:p>
    <w:p w:rsidR="006A09F7" w:rsidRPr="0042517A" w:rsidRDefault="006A09F7" w:rsidP="00B23635">
      <w:pPr>
        <w:shd w:val="clear" w:color="auto" w:fill="FFFFFF"/>
        <w:adjustRightInd/>
        <w:snapToGrid/>
        <w:spacing w:before="330" w:afterLines="50" w:line="360" w:lineRule="auto"/>
        <w:ind w:firstLineChars="200" w:firstLine="482"/>
        <w:jc w:val="both"/>
        <w:rPr>
          <w:rFonts w:asciiTheme="minorEastAsia" w:eastAsiaTheme="minorEastAsia" w:hAnsiTheme="minorEastAsia" w:cs="Arial"/>
          <w:color w:val="333333"/>
          <w:sz w:val="24"/>
          <w:szCs w:val="24"/>
        </w:rPr>
      </w:pPr>
      <w:r w:rsidRPr="00B23635">
        <w:rPr>
          <w:rFonts w:asciiTheme="minorEastAsia" w:eastAsiaTheme="minorEastAsia" w:hAnsiTheme="minorEastAsia" w:cs="Arial"/>
          <w:b/>
          <w:color w:val="333333"/>
          <w:sz w:val="24"/>
          <w:szCs w:val="24"/>
        </w:rPr>
        <w:t>第五，执行力度的新决心。</w:t>
      </w:r>
      <w:r w:rsidRPr="0042517A">
        <w:rPr>
          <w:rFonts w:asciiTheme="minorEastAsia" w:eastAsiaTheme="minorEastAsia" w:hAnsiTheme="minorEastAsia" w:cs="Arial"/>
          <w:color w:val="333333"/>
          <w:sz w:val="24"/>
          <w:szCs w:val="24"/>
        </w:rPr>
        <w:t>再好的政策和制度设计，如果不能有效贯彻执行，终将只是一纸空文，扫黑除恶专项斗争也不例外。当前，一些黑恶势力之所以长期称霸一方，为非作恶，在一定区域或行业内形成非法控制或重大影响，重要原因就是其与腐败问题交织在一起，背后有强大的“关系网”和“保护伞”撑腰，这也必然使扫黑除恶工作在实际推进中面临各种阻力和干扰。为了保证扫黑除恶专项斗争取得切实效果，《通知》要求各级党委和政府主要负责同志要勇于担当，敢于碰硬，旗帜鲜明支持扫黑除恶工作，对涉黑涉恶问题尤其是群众反映强烈的大案要案，要有坚决的态度，无论涉及谁，都要一查到底，对</w:t>
      </w:r>
      <w:r w:rsidRPr="0042517A">
        <w:rPr>
          <w:rFonts w:asciiTheme="minorEastAsia" w:eastAsiaTheme="minorEastAsia" w:hAnsiTheme="minorEastAsia" w:cs="Arial"/>
          <w:color w:val="333333"/>
          <w:sz w:val="24"/>
          <w:szCs w:val="24"/>
        </w:rPr>
        <w:lastRenderedPageBreak/>
        <w:t>扫黑除恶专项斗争中发现的“保护伞”问题线索要优先处置，发现一起、查处一起，不管涉及谁，绝不姑息。</w:t>
      </w:r>
    </w:p>
    <w:p w:rsidR="006A09F7" w:rsidRPr="0042517A" w:rsidRDefault="006A09F7" w:rsidP="00B23635">
      <w:pPr>
        <w:shd w:val="clear" w:color="auto" w:fill="FFFFFF"/>
        <w:adjustRightInd/>
        <w:snapToGrid/>
        <w:spacing w:before="330" w:afterLines="50" w:line="360" w:lineRule="auto"/>
        <w:ind w:firstLineChars="200" w:firstLine="480"/>
        <w:jc w:val="both"/>
        <w:rPr>
          <w:rFonts w:asciiTheme="minorEastAsia" w:eastAsiaTheme="minorEastAsia" w:hAnsiTheme="minorEastAsia" w:cs="Arial"/>
          <w:color w:val="333333"/>
          <w:sz w:val="24"/>
          <w:szCs w:val="24"/>
        </w:rPr>
      </w:pPr>
      <w:r w:rsidRPr="0042517A">
        <w:rPr>
          <w:rFonts w:asciiTheme="minorEastAsia" w:eastAsiaTheme="minorEastAsia" w:hAnsiTheme="minorEastAsia" w:cs="Arial"/>
          <w:color w:val="333333"/>
          <w:sz w:val="24"/>
          <w:szCs w:val="24"/>
        </w:rPr>
        <w:t>一分部署，九分落实。我国当前正处于全面推进依法治国的关键时期，“十九大”强调全面依法治国是国家治理的一场深刻革命，扫黑除恶专项斗争当然应在法治框架内进行，不能脱离依法治国的轨道，这就意味着各有关机关要善用法治、以法治思维积极推进扫黑除恶专项行动，应重视以扫黑除恶工作为契机，推进和实践依法治国方略，将扫黑除恶作为实践和检验法治建设及其成效的具体实例。《通知》强调政法各机关要进一步明确政策法律界限，统一执法思想，加强协调配合，既坚持严厉打击各类黑恶势力违法犯罪，又坚持严格依法办案，确保办案质量和办案效率的统一，确保政治效果、法律效果和社会效果的统一。具体来说，理解与执行《通知》的这一精神，应重视妥善处理以下问题：</w:t>
      </w:r>
    </w:p>
    <w:p w:rsidR="006A09F7" w:rsidRPr="0042517A" w:rsidRDefault="006A09F7" w:rsidP="00B23635">
      <w:pPr>
        <w:shd w:val="clear" w:color="auto" w:fill="FFFFFF"/>
        <w:adjustRightInd/>
        <w:snapToGrid/>
        <w:spacing w:before="330" w:afterLines="50" w:line="360" w:lineRule="auto"/>
        <w:ind w:firstLineChars="200" w:firstLine="482"/>
        <w:jc w:val="both"/>
        <w:rPr>
          <w:rFonts w:asciiTheme="minorEastAsia" w:eastAsiaTheme="minorEastAsia" w:hAnsiTheme="minorEastAsia" w:cs="Arial"/>
          <w:color w:val="333333"/>
          <w:sz w:val="24"/>
          <w:szCs w:val="24"/>
        </w:rPr>
      </w:pPr>
      <w:r w:rsidRPr="00B23635">
        <w:rPr>
          <w:rFonts w:asciiTheme="minorEastAsia" w:eastAsiaTheme="minorEastAsia" w:hAnsiTheme="minorEastAsia" w:cs="Arial"/>
          <w:b/>
          <w:color w:val="333333"/>
          <w:sz w:val="24"/>
          <w:szCs w:val="24"/>
        </w:rPr>
        <w:t>第一，科学把握“打早打小”与刑法适用的关系。</w:t>
      </w:r>
      <w:r w:rsidRPr="0042517A">
        <w:rPr>
          <w:rFonts w:asciiTheme="minorEastAsia" w:eastAsiaTheme="minorEastAsia" w:hAnsiTheme="minorEastAsia" w:cs="Arial"/>
          <w:color w:val="333333"/>
          <w:sz w:val="24"/>
          <w:szCs w:val="24"/>
        </w:rPr>
        <w:t>打早打小、露头就打，是扫黑除恶工作须坚持的基本原则，也是提升扫黑除恶工作主动性和预见性的要求，有助于避免黑恶势力坐大成势，确保将黑恶势力消灭在萌芽状态。办案过程中，对于黑恶势力是否构成犯罪以及是否属于刑法规定的黑社会性质组织，要严格依法认定。对于不构成犯罪的涉黑涉恶违法活动，要善用治安、行政等手段依法处理；构成犯罪的应依法定罪量刑。要贯彻宽严相济的刑事政策，对黑社会性质组织犯罪组织者、领导者、骨干成员及其“保护伞”要依法从严惩处，对犯罪情节较轻的其他参加人员要依法从轻、减轻处罚，以保证打击重点，减少社会对抗，促进社会和谐。</w:t>
      </w:r>
    </w:p>
    <w:p w:rsidR="006A09F7" w:rsidRPr="0042517A" w:rsidRDefault="006A09F7" w:rsidP="00B23635">
      <w:pPr>
        <w:shd w:val="clear" w:color="auto" w:fill="FFFFFF"/>
        <w:adjustRightInd/>
        <w:snapToGrid/>
        <w:spacing w:before="330" w:afterLines="50" w:line="360" w:lineRule="auto"/>
        <w:ind w:firstLineChars="200" w:firstLine="482"/>
        <w:jc w:val="both"/>
        <w:rPr>
          <w:rFonts w:asciiTheme="minorEastAsia" w:eastAsiaTheme="minorEastAsia" w:hAnsiTheme="minorEastAsia" w:cs="Arial"/>
          <w:color w:val="333333"/>
          <w:sz w:val="24"/>
          <w:szCs w:val="24"/>
        </w:rPr>
      </w:pPr>
      <w:r w:rsidRPr="00B23635">
        <w:rPr>
          <w:rFonts w:asciiTheme="minorEastAsia" w:eastAsiaTheme="minorEastAsia" w:hAnsiTheme="minorEastAsia" w:cs="Arial"/>
          <w:b/>
          <w:color w:val="333333"/>
          <w:sz w:val="24"/>
          <w:szCs w:val="24"/>
        </w:rPr>
        <w:t>第二，重程序，强化证据，确保案件质量。</w:t>
      </w:r>
      <w:r w:rsidRPr="0042517A">
        <w:rPr>
          <w:rFonts w:asciiTheme="minorEastAsia" w:eastAsiaTheme="minorEastAsia" w:hAnsiTheme="minorEastAsia" w:cs="Arial"/>
          <w:color w:val="333333"/>
          <w:sz w:val="24"/>
          <w:szCs w:val="24"/>
        </w:rPr>
        <w:t>切实推进以审判为中心的刑事诉讼制度改革，是党的十八届四中全会作出的重大改革部署，对于扫黑除恶工作中涉及犯罪的案件，要按照和主动适应以审判为中心的刑事诉讼制度改革要求，重视庭审实质化，强化证据意识和程序意识，防止以刑讯逼供等非法方法收集证据；严禁刑讯逼供，以确保办案质量，尽最大限度防范和避免冤假错案的发生。</w:t>
      </w:r>
    </w:p>
    <w:p w:rsidR="006A09F7" w:rsidRPr="0042517A" w:rsidRDefault="006A09F7" w:rsidP="00B23635">
      <w:pPr>
        <w:shd w:val="clear" w:color="auto" w:fill="FFFFFF"/>
        <w:adjustRightInd/>
        <w:snapToGrid/>
        <w:spacing w:before="330" w:afterLines="50" w:line="360" w:lineRule="auto"/>
        <w:ind w:firstLineChars="200" w:firstLine="482"/>
        <w:jc w:val="both"/>
        <w:rPr>
          <w:rFonts w:asciiTheme="minorEastAsia" w:eastAsiaTheme="minorEastAsia" w:hAnsiTheme="minorEastAsia" w:cs="Arial"/>
          <w:color w:val="333333"/>
          <w:sz w:val="24"/>
          <w:szCs w:val="24"/>
        </w:rPr>
      </w:pPr>
      <w:r w:rsidRPr="00B23635">
        <w:rPr>
          <w:rFonts w:asciiTheme="minorEastAsia" w:eastAsiaTheme="minorEastAsia" w:hAnsiTheme="minorEastAsia" w:cs="Arial"/>
          <w:b/>
          <w:color w:val="333333"/>
          <w:sz w:val="24"/>
          <w:szCs w:val="24"/>
        </w:rPr>
        <w:lastRenderedPageBreak/>
        <w:t>第三，重视产权司法保护。</w:t>
      </w:r>
      <w:r w:rsidRPr="0042517A">
        <w:rPr>
          <w:rFonts w:asciiTheme="minorEastAsia" w:eastAsiaTheme="minorEastAsia" w:hAnsiTheme="minorEastAsia" w:cs="Arial"/>
          <w:color w:val="333333"/>
          <w:sz w:val="24"/>
          <w:szCs w:val="24"/>
        </w:rPr>
        <w:t>产权制度是社会主义市场经济的基石，保护产权是坚持社会主义基本经济制度的必然要求。2016年11月4日中共中央、国务院发布了《关于完善产权保护制度依法保护产权的意见》，依法加强产权司法保护也是当前我国司法工作的重点之一。扫黑除恶专项斗争中，各级司法机关要依法及时采取查封、扣押、冻结等措施，综合运用追缴、没收、判处财产刑以及行政罚款等多种手段，铲除黑恶势力经济基础，同时应严格贯彻落实对产权的司法保护，严格规范涉案财产的法律程序，坚持审慎把握处理产权和经济纠纷的司法政策，注意区分涉黑财产和个人企业合法财产的界限，对于依法属于涉黑财产的，坚决予以追缴没收；对于与黑恶势力违法犯罪行为没有牵连，属于公民和企业合法的财产，应依法保护。</w:t>
      </w:r>
    </w:p>
    <w:p w:rsidR="004358AB" w:rsidRPr="0042517A" w:rsidRDefault="004358AB" w:rsidP="0042517A">
      <w:pPr>
        <w:spacing w:afterLines="50" w:line="360" w:lineRule="auto"/>
        <w:rPr>
          <w:rFonts w:asciiTheme="minorEastAsia" w:eastAsiaTheme="minorEastAsia" w:hAnsiTheme="minorEastAsia"/>
          <w:sz w:val="24"/>
          <w:szCs w:val="24"/>
        </w:rPr>
      </w:pPr>
    </w:p>
    <w:sectPr w:rsidR="004358AB" w:rsidRPr="0042517A"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5E1C" w:rsidRDefault="00345E1C" w:rsidP="006A09F7">
      <w:pPr>
        <w:spacing w:after="0"/>
      </w:pPr>
      <w:r>
        <w:separator/>
      </w:r>
    </w:p>
  </w:endnote>
  <w:endnote w:type="continuationSeparator" w:id="0">
    <w:p w:rsidR="00345E1C" w:rsidRDefault="00345E1C" w:rsidP="006A09F7">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5E1C" w:rsidRDefault="00345E1C" w:rsidP="006A09F7">
      <w:pPr>
        <w:spacing w:after="0"/>
      </w:pPr>
      <w:r>
        <w:separator/>
      </w:r>
    </w:p>
  </w:footnote>
  <w:footnote w:type="continuationSeparator" w:id="0">
    <w:p w:rsidR="00345E1C" w:rsidRDefault="00345E1C" w:rsidP="006A09F7">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9218"/>
  </w:hdrShapeDefaults>
  <w:footnotePr>
    <w:footnote w:id="-1"/>
    <w:footnote w:id="0"/>
  </w:footnotePr>
  <w:endnotePr>
    <w:endnote w:id="-1"/>
    <w:endnote w:id="0"/>
  </w:endnotePr>
  <w:compat>
    <w:useFELayout/>
  </w:compat>
  <w:rsids>
    <w:rsidRoot w:val="00D31D50"/>
    <w:rsid w:val="000F1483"/>
    <w:rsid w:val="00323B43"/>
    <w:rsid w:val="00345E1C"/>
    <w:rsid w:val="003D37D8"/>
    <w:rsid w:val="0042517A"/>
    <w:rsid w:val="00426133"/>
    <w:rsid w:val="004358AB"/>
    <w:rsid w:val="006A09F7"/>
    <w:rsid w:val="008B7726"/>
    <w:rsid w:val="00A07E0D"/>
    <w:rsid w:val="00B15C9E"/>
    <w:rsid w:val="00B23635"/>
    <w:rsid w:val="00B300BD"/>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paragraph" w:styleId="2">
    <w:name w:val="heading 2"/>
    <w:basedOn w:val="a"/>
    <w:link w:val="2Char"/>
    <w:uiPriority w:val="9"/>
    <w:qFormat/>
    <w:rsid w:val="006A09F7"/>
    <w:pPr>
      <w:adjustRightInd/>
      <w:snapToGrid/>
      <w:spacing w:before="100" w:beforeAutospacing="1" w:after="100" w:afterAutospacing="1"/>
      <w:outlineLvl w:val="1"/>
    </w:pPr>
    <w:rPr>
      <w:rFonts w:ascii="宋体" w:eastAsia="宋体" w:hAnsi="宋体" w:cs="宋体"/>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A09F7"/>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6A09F7"/>
    <w:rPr>
      <w:rFonts w:ascii="Tahoma" w:hAnsi="Tahoma"/>
      <w:sz w:val="18"/>
      <w:szCs w:val="18"/>
    </w:rPr>
  </w:style>
  <w:style w:type="paragraph" w:styleId="a4">
    <w:name w:val="footer"/>
    <w:basedOn w:val="a"/>
    <w:link w:val="Char0"/>
    <w:uiPriority w:val="99"/>
    <w:semiHidden/>
    <w:unhideWhenUsed/>
    <w:rsid w:val="006A09F7"/>
    <w:pPr>
      <w:tabs>
        <w:tab w:val="center" w:pos="4153"/>
        <w:tab w:val="right" w:pos="8306"/>
      </w:tabs>
    </w:pPr>
    <w:rPr>
      <w:sz w:val="18"/>
      <w:szCs w:val="18"/>
    </w:rPr>
  </w:style>
  <w:style w:type="character" w:customStyle="1" w:styleId="Char0">
    <w:name w:val="页脚 Char"/>
    <w:basedOn w:val="a0"/>
    <w:link w:val="a4"/>
    <w:uiPriority w:val="99"/>
    <w:semiHidden/>
    <w:rsid w:val="006A09F7"/>
    <w:rPr>
      <w:rFonts w:ascii="Tahoma" w:hAnsi="Tahoma"/>
      <w:sz w:val="18"/>
      <w:szCs w:val="18"/>
    </w:rPr>
  </w:style>
  <w:style w:type="character" w:customStyle="1" w:styleId="2Char">
    <w:name w:val="标题 2 Char"/>
    <w:basedOn w:val="a0"/>
    <w:link w:val="2"/>
    <w:uiPriority w:val="9"/>
    <w:rsid w:val="006A09F7"/>
    <w:rPr>
      <w:rFonts w:ascii="宋体" w:eastAsia="宋体" w:hAnsi="宋体" w:cs="宋体"/>
      <w:b/>
      <w:bCs/>
      <w:sz w:val="36"/>
      <w:szCs w:val="36"/>
    </w:rPr>
  </w:style>
  <w:style w:type="paragraph" w:customStyle="1" w:styleId="author-name">
    <w:name w:val="author-name"/>
    <w:basedOn w:val="a"/>
    <w:rsid w:val="006A09F7"/>
    <w:pPr>
      <w:adjustRightInd/>
      <w:snapToGrid/>
      <w:spacing w:before="100" w:beforeAutospacing="1" w:after="100" w:afterAutospacing="1"/>
    </w:pPr>
    <w:rPr>
      <w:rFonts w:ascii="宋体" w:eastAsia="宋体" w:hAnsi="宋体" w:cs="宋体"/>
      <w:sz w:val="24"/>
      <w:szCs w:val="24"/>
    </w:rPr>
  </w:style>
  <w:style w:type="character" w:customStyle="1" w:styleId="source">
    <w:name w:val="source"/>
    <w:basedOn w:val="a0"/>
    <w:rsid w:val="006A09F7"/>
  </w:style>
  <w:style w:type="character" w:customStyle="1" w:styleId="date">
    <w:name w:val="date"/>
    <w:basedOn w:val="a0"/>
    <w:rsid w:val="006A09F7"/>
  </w:style>
  <w:style w:type="character" w:customStyle="1" w:styleId="time">
    <w:name w:val="time"/>
    <w:basedOn w:val="a0"/>
    <w:rsid w:val="006A09F7"/>
  </w:style>
  <w:style w:type="paragraph" w:styleId="a5">
    <w:name w:val="Normal (Web)"/>
    <w:basedOn w:val="a"/>
    <w:uiPriority w:val="99"/>
    <w:semiHidden/>
    <w:unhideWhenUsed/>
    <w:rsid w:val="006A09F7"/>
    <w:pPr>
      <w:adjustRightInd/>
      <w:snapToGrid/>
      <w:spacing w:before="100" w:beforeAutospacing="1" w:after="100" w:afterAutospacing="1"/>
    </w:pPr>
    <w:rPr>
      <w:rFonts w:ascii="宋体" w:eastAsia="宋体" w:hAnsi="宋体" w:cs="宋体"/>
      <w:sz w:val="24"/>
      <w:szCs w:val="24"/>
    </w:rPr>
  </w:style>
  <w:style w:type="paragraph" w:styleId="a6">
    <w:name w:val="Balloon Text"/>
    <w:basedOn w:val="a"/>
    <w:link w:val="Char1"/>
    <w:uiPriority w:val="99"/>
    <w:semiHidden/>
    <w:unhideWhenUsed/>
    <w:rsid w:val="006A09F7"/>
    <w:pPr>
      <w:spacing w:after="0"/>
    </w:pPr>
    <w:rPr>
      <w:sz w:val="18"/>
      <w:szCs w:val="18"/>
    </w:rPr>
  </w:style>
  <w:style w:type="character" w:customStyle="1" w:styleId="Char1">
    <w:name w:val="批注框文本 Char"/>
    <w:basedOn w:val="a0"/>
    <w:link w:val="a6"/>
    <w:uiPriority w:val="99"/>
    <w:semiHidden/>
    <w:rsid w:val="006A09F7"/>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divs>
    <w:div w:id="1707366133">
      <w:bodyDiv w:val="1"/>
      <w:marLeft w:val="0"/>
      <w:marRight w:val="0"/>
      <w:marTop w:val="0"/>
      <w:marBottom w:val="0"/>
      <w:divBdr>
        <w:top w:val="none" w:sz="0" w:space="0" w:color="auto"/>
        <w:left w:val="none" w:sz="0" w:space="0" w:color="auto"/>
        <w:bottom w:val="none" w:sz="0" w:space="0" w:color="auto"/>
        <w:right w:val="none" w:sz="0" w:space="0" w:color="auto"/>
      </w:divBdr>
      <w:divsChild>
        <w:div w:id="118111821">
          <w:marLeft w:val="0"/>
          <w:marRight w:val="0"/>
          <w:marTop w:val="0"/>
          <w:marBottom w:val="0"/>
          <w:divBdr>
            <w:top w:val="none" w:sz="0" w:space="0" w:color="auto"/>
            <w:left w:val="none" w:sz="0" w:space="0" w:color="auto"/>
            <w:bottom w:val="none" w:sz="0" w:space="0" w:color="auto"/>
            <w:right w:val="none" w:sz="0" w:space="0" w:color="auto"/>
          </w:divBdr>
        </w:div>
        <w:div w:id="1991054580">
          <w:marLeft w:val="0"/>
          <w:marRight w:val="0"/>
          <w:marTop w:val="225"/>
          <w:marBottom w:val="0"/>
          <w:divBdr>
            <w:top w:val="none" w:sz="0" w:space="0" w:color="auto"/>
            <w:left w:val="none" w:sz="0" w:space="0" w:color="auto"/>
            <w:bottom w:val="none" w:sz="0" w:space="0" w:color="auto"/>
            <w:right w:val="none" w:sz="0" w:space="0" w:color="auto"/>
          </w:divBdr>
          <w:divsChild>
            <w:div w:id="750658988">
              <w:marLeft w:val="0"/>
              <w:marRight w:val="120"/>
              <w:marTop w:val="0"/>
              <w:marBottom w:val="0"/>
              <w:divBdr>
                <w:top w:val="none" w:sz="0" w:space="0" w:color="auto"/>
                <w:left w:val="none" w:sz="0" w:space="0" w:color="auto"/>
                <w:bottom w:val="none" w:sz="0" w:space="0" w:color="auto"/>
                <w:right w:val="none" w:sz="0" w:space="0" w:color="auto"/>
              </w:divBdr>
            </w:div>
            <w:div w:id="285357106">
              <w:marLeft w:val="0"/>
              <w:marRight w:val="0"/>
              <w:marTop w:val="0"/>
              <w:marBottom w:val="0"/>
              <w:divBdr>
                <w:top w:val="none" w:sz="0" w:space="0" w:color="auto"/>
                <w:left w:val="none" w:sz="0" w:space="0" w:color="auto"/>
                <w:bottom w:val="none" w:sz="0" w:space="0" w:color="auto"/>
                <w:right w:val="none" w:sz="0" w:space="0" w:color="auto"/>
              </w:divBdr>
              <w:divsChild>
                <w:div w:id="143498165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833257405">
          <w:marLeft w:val="0"/>
          <w:marRight w:val="0"/>
          <w:marTop w:val="255"/>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4</Pages>
  <Words>421</Words>
  <Characters>2404</Characters>
  <Application>Microsoft Office Word</Application>
  <DocSecurity>0</DocSecurity>
  <Lines>20</Lines>
  <Paragraphs>5</Paragraphs>
  <ScaleCrop>false</ScaleCrop>
  <Company/>
  <LinksUpToDate>false</LinksUpToDate>
  <CharactersWithSpaces>2820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dd</cp:lastModifiedBy>
  <cp:revision>5</cp:revision>
  <dcterms:created xsi:type="dcterms:W3CDTF">2008-09-11T17:20:00Z</dcterms:created>
  <dcterms:modified xsi:type="dcterms:W3CDTF">2018-11-14T01:50:00Z</dcterms:modified>
</cp:coreProperties>
</file>